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81" w:rsidRDefault="00486781">
      <w:pPr>
        <w:pStyle w:val="normal0"/>
        <w:widowControl w:val="0"/>
        <w:pBdr>
          <w:top w:val="single" w:sz="4" w:space="0" w:color="000000"/>
          <w:left w:val="single" w:sz="4" w:space="4" w:color="000000"/>
          <w:bottom w:val="single" w:sz="4" w:space="0" w:color="000000"/>
          <w:right w:val="single" w:sz="4" w:space="4" w:color="000000"/>
          <w:between w:val="nil"/>
        </w:pBdr>
        <w:ind w:firstLine="360"/>
        <w:jc w:val="center"/>
        <w:rPr>
          <w:color w:val="000000"/>
          <w:sz w:val="22"/>
          <w:szCs w:val="22"/>
        </w:rPr>
      </w:pPr>
    </w:p>
    <w:p w:rsidR="00486781" w:rsidRDefault="00F61C23">
      <w:pPr>
        <w:pStyle w:val="normal0"/>
        <w:widowControl w:val="0"/>
        <w:pBdr>
          <w:top w:val="single" w:sz="4" w:space="0" w:color="000000"/>
          <w:left w:val="single" w:sz="4" w:space="4" w:color="000000"/>
          <w:bottom w:val="single" w:sz="4" w:space="0" w:color="000000"/>
          <w:right w:val="single" w:sz="4" w:space="4" w:color="000000"/>
          <w:between w:val="nil"/>
        </w:pBdr>
        <w:jc w:val="center"/>
        <w:rPr>
          <w:color w:val="000000"/>
          <w:sz w:val="32"/>
          <w:szCs w:val="32"/>
        </w:rPr>
      </w:pPr>
      <w:r>
        <w:rPr>
          <w:b/>
          <w:color w:val="000000"/>
          <w:sz w:val="32"/>
          <w:szCs w:val="32"/>
        </w:rPr>
        <w:t>Stony Brook University</w:t>
      </w:r>
    </w:p>
    <w:p w:rsidR="00486781" w:rsidRDefault="00F61C23">
      <w:pPr>
        <w:pStyle w:val="normal0"/>
        <w:widowControl w:val="0"/>
        <w:pBdr>
          <w:top w:val="single" w:sz="4" w:space="0" w:color="000000"/>
          <w:left w:val="single" w:sz="4" w:space="4" w:color="000000"/>
          <w:bottom w:val="single" w:sz="4" w:space="0" w:color="000000"/>
          <w:right w:val="single" w:sz="4" w:space="4" w:color="000000"/>
          <w:between w:val="nil"/>
        </w:pBdr>
        <w:jc w:val="center"/>
        <w:rPr>
          <w:b/>
          <w:color w:val="000000"/>
          <w:sz w:val="32"/>
          <w:szCs w:val="32"/>
        </w:rPr>
      </w:pPr>
      <w:r>
        <w:rPr>
          <w:b/>
          <w:color w:val="000000"/>
          <w:sz w:val="32"/>
          <w:szCs w:val="32"/>
        </w:rPr>
        <w:t>The Graduate School</w:t>
      </w:r>
    </w:p>
    <w:p w:rsidR="00486781" w:rsidRDefault="00486781">
      <w:pPr>
        <w:pStyle w:val="normal0"/>
        <w:widowControl w:val="0"/>
        <w:pBdr>
          <w:top w:val="single" w:sz="4" w:space="0" w:color="000000"/>
          <w:left w:val="single" w:sz="4" w:space="4" w:color="000000"/>
          <w:bottom w:val="single" w:sz="4" w:space="0" w:color="000000"/>
          <w:right w:val="single" w:sz="4" w:space="4" w:color="000000"/>
          <w:between w:val="nil"/>
        </w:pBdr>
        <w:jc w:val="center"/>
        <w:rPr>
          <w:b/>
          <w:sz w:val="22"/>
          <w:szCs w:val="22"/>
        </w:rPr>
      </w:pPr>
    </w:p>
    <w:p w:rsidR="00486781" w:rsidRDefault="00F61C23">
      <w:pPr>
        <w:pStyle w:val="normal0"/>
        <w:widowControl w:val="0"/>
        <w:pBdr>
          <w:top w:val="single" w:sz="4" w:space="0" w:color="000000"/>
          <w:left w:val="single" w:sz="4" w:space="4" w:color="000000"/>
          <w:bottom w:val="single" w:sz="4" w:space="0" w:color="000000"/>
          <w:right w:val="single" w:sz="4" w:space="4" w:color="000000"/>
          <w:between w:val="nil"/>
        </w:pBdr>
        <w:jc w:val="center"/>
        <w:rPr>
          <w:color w:val="000000"/>
          <w:sz w:val="28"/>
          <w:szCs w:val="28"/>
        </w:rPr>
      </w:pPr>
      <w:r>
        <w:rPr>
          <w:color w:val="000000"/>
          <w:sz w:val="28"/>
          <w:szCs w:val="28"/>
        </w:rPr>
        <w:t>Doctoral Defense Announcement</w:t>
      </w:r>
    </w:p>
    <w:p w:rsidR="00486781" w:rsidRDefault="00486781">
      <w:pPr>
        <w:pStyle w:val="normal0"/>
        <w:widowControl w:val="0"/>
        <w:pBdr>
          <w:top w:val="single" w:sz="4" w:space="0" w:color="000000"/>
          <w:left w:val="single" w:sz="4" w:space="4" w:color="000000"/>
          <w:bottom w:val="single" w:sz="4" w:space="0" w:color="000000"/>
          <w:right w:val="single" w:sz="4" w:space="4" w:color="000000"/>
          <w:between w:val="nil"/>
        </w:pBdr>
        <w:ind w:firstLine="360"/>
        <w:jc w:val="center"/>
        <w:rPr>
          <w:sz w:val="22"/>
          <w:szCs w:val="22"/>
        </w:rPr>
      </w:pPr>
    </w:p>
    <w:p w:rsidR="00486781" w:rsidRDefault="00F61C23">
      <w:pPr>
        <w:pStyle w:val="normal0"/>
        <w:widowControl w:val="0"/>
        <w:pBdr>
          <w:top w:val="single" w:sz="4" w:space="0" w:color="000000"/>
          <w:left w:val="single" w:sz="4" w:space="4" w:color="000000"/>
          <w:bottom w:val="single" w:sz="4" w:space="0" w:color="000000"/>
          <w:right w:val="single" w:sz="4" w:space="4" w:color="000000"/>
          <w:between w:val="nil"/>
        </w:pBdr>
        <w:jc w:val="center"/>
        <w:rPr>
          <w:b/>
          <w:color w:val="000000"/>
          <w:sz w:val="28"/>
          <w:szCs w:val="28"/>
        </w:rPr>
      </w:pPr>
      <w:r>
        <w:rPr>
          <w:b/>
          <w:color w:val="000000"/>
          <w:sz w:val="28"/>
          <w:szCs w:val="28"/>
        </w:rPr>
        <w:t>Abstract</w:t>
      </w:r>
    </w:p>
    <w:p w:rsidR="00486781" w:rsidRDefault="00486781">
      <w:pPr>
        <w:pStyle w:val="normal0"/>
        <w:widowControl w:val="0"/>
        <w:pBdr>
          <w:top w:val="single" w:sz="4" w:space="0" w:color="000000"/>
          <w:left w:val="single" w:sz="4" w:space="4" w:color="000000"/>
          <w:bottom w:val="single" w:sz="4" w:space="0" w:color="000000"/>
          <w:right w:val="single" w:sz="4" w:space="4" w:color="000000"/>
          <w:between w:val="nil"/>
        </w:pBdr>
        <w:jc w:val="center"/>
        <w:rPr>
          <w:b/>
          <w:sz w:val="22"/>
          <w:szCs w:val="22"/>
        </w:rPr>
      </w:pPr>
    </w:p>
    <w:p w:rsidR="00486781" w:rsidRDefault="00F61C23">
      <w:pPr>
        <w:pStyle w:val="normal0"/>
        <w:pBdr>
          <w:top w:val="single" w:sz="4" w:space="0" w:color="000000"/>
          <w:left w:val="single" w:sz="4" w:space="4" w:color="000000"/>
          <w:bottom w:val="single" w:sz="4" w:space="0" w:color="000000"/>
          <w:right w:val="single" w:sz="4" w:space="4" w:color="000000"/>
        </w:pBdr>
        <w:jc w:val="center"/>
        <w:rPr>
          <w:b/>
        </w:rPr>
      </w:pPr>
      <w:r>
        <w:rPr>
          <w:b/>
        </w:rPr>
        <w:t xml:space="preserve">Measuring Student Understanding of Genetics:  </w:t>
      </w:r>
    </w:p>
    <w:p w:rsidR="00486781" w:rsidRDefault="00F61C23">
      <w:pPr>
        <w:pStyle w:val="normal0"/>
        <w:pBdr>
          <w:top w:val="single" w:sz="4" w:space="0" w:color="000000"/>
          <w:left w:val="single" w:sz="4" w:space="4" w:color="000000"/>
          <w:bottom w:val="single" w:sz="4" w:space="0" w:color="000000"/>
          <w:right w:val="single" w:sz="4" w:space="4" w:color="000000"/>
        </w:pBdr>
        <w:jc w:val="center"/>
        <w:rPr>
          <w:b/>
        </w:rPr>
      </w:pPr>
      <w:r>
        <w:rPr>
          <w:b/>
        </w:rPr>
        <w:t>Psychometric, Cognitive, and Demographic Considerations</w:t>
      </w:r>
    </w:p>
    <w:p w:rsidR="00486781" w:rsidRDefault="00486781">
      <w:pPr>
        <w:pStyle w:val="normal0"/>
        <w:pBdr>
          <w:top w:val="single" w:sz="4" w:space="0" w:color="000000"/>
          <w:left w:val="single" w:sz="4" w:space="4" w:color="000000"/>
          <w:bottom w:val="single" w:sz="4" w:space="0" w:color="000000"/>
          <w:right w:val="single" w:sz="4" w:space="4" w:color="000000"/>
        </w:pBdr>
        <w:rPr>
          <w:sz w:val="22"/>
          <w:szCs w:val="22"/>
        </w:rPr>
      </w:pPr>
    </w:p>
    <w:p w:rsidR="00486781" w:rsidRDefault="00F61C23">
      <w:pPr>
        <w:pStyle w:val="normal0"/>
        <w:pBdr>
          <w:top w:val="single" w:sz="4" w:space="0" w:color="000000"/>
          <w:left w:val="single" w:sz="4" w:space="4" w:color="000000"/>
          <w:bottom w:val="single" w:sz="4" w:space="0" w:color="000000"/>
          <w:right w:val="single" w:sz="4" w:space="4" w:color="000000"/>
        </w:pBdr>
        <w:jc w:val="center"/>
      </w:pPr>
      <w:r>
        <w:t>By</w:t>
      </w:r>
    </w:p>
    <w:p w:rsidR="00486781" w:rsidRDefault="00486781">
      <w:pPr>
        <w:pStyle w:val="normal0"/>
        <w:pBdr>
          <w:top w:val="single" w:sz="4" w:space="0" w:color="000000"/>
          <w:left w:val="single" w:sz="4" w:space="4" w:color="000000"/>
          <w:bottom w:val="single" w:sz="4" w:space="0" w:color="000000"/>
          <w:right w:val="single" w:sz="4" w:space="4" w:color="000000"/>
        </w:pBdr>
        <w:jc w:val="center"/>
        <w:rPr>
          <w:sz w:val="22"/>
          <w:szCs w:val="22"/>
        </w:rPr>
      </w:pPr>
    </w:p>
    <w:p w:rsidR="00486781" w:rsidRDefault="00F61C23">
      <w:pPr>
        <w:pStyle w:val="normal0"/>
        <w:widowControl w:val="0"/>
        <w:pBdr>
          <w:top w:val="single" w:sz="4" w:space="0" w:color="000000"/>
          <w:left w:val="single" w:sz="4" w:space="4" w:color="000000"/>
          <w:bottom w:val="single" w:sz="4" w:space="0" w:color="000000"/>
          <w:right w:val="single" w:sz="4" w:space="4" w:color="000000"/>
          <w:between w:val="nil"/>
        </w:pBdr>
        <w:jc w:val="center"/>
        <w:rPr>
          <w:color w:val="000000"/>
        </w:rPr>
      </w:pPr>
      <w:r>
        <w:rPr>
          <w:b/>
          <w:color w:val="000000"/>
        </w:rPr>
        <w:t xml:space="preserve">Robyn </w:t>
      </w:r>
      <w:proofErr w:type="spellStart"/>
      <w:r>
        <w:rPr>
          <w:b/>
          <w:color w:val="000000"/>
        </w:rPr>
        <w:t>Tornabene</w:t>
      </w:r>
      <w:proofErr w:type="spellEnd"/>
    </w:p>
    <w:p w:rsidR="00486781" w:rsidRDefault="00486781">
      <w:pPr>
        <w:pStyle w:val="normal0"/>
        <w:pBdr>
          <w:top w:val="single" w:sz="4" w:space="0" w:color="000000"/>
          <w:left w:val="single" w:sz="4" w:space="4" w:color="000000"/>
          <w:bottom w:val="single" w:sz="4" w:space="0" w:color="000000"/>
          <w:right w:val="single" w:sz="4" w:space="4" w:color="000000"/>
        </w:pBdr>
        <w:jc w:val="both"/>
      </w:pPr>
    </w:p>
    <w:p w:rsidR="00486781" w:rsidRDefault="00F61C23">
      <w:pPr>
        <w:pStyle w:val="normal0"/>
        <w:pBdr>
          <w:top w:val="single" w:sz="4" w:space="0" w:color="000000"/>
          <w:left w:val="single" w:sz="4" w:space="4" w:color="000000"/>
          <w:bottom w:val="single" w:sz="4" w:space="0" w:color="000000"/>
          <w:right w:val="single" w:sz="4" w:space="4" w:color="000000"/>
        </w:pBdr>
        <w:ind w:firstLine="360"/>
        <w:jc w:val="both"/>
        <w:rPr>
          <w:sz w:val="22"/>
          <w:szCs w:val="22"/>
        </w:rPr>
      </w:pPr>
      <w:r>
        <w:rPr>
          <w:sz w:val="22"/>
          <w:szCs w:val="22"/>
        </w:rPr>
        <w:t>Genetics is universally recognized as a core component of biological and scientific literacy. Consequently, educators and researchers have sought to develop measures of student understanding in this domain. Accurate measurement is essential for providing e</w:t>
      </w:r>
      <w:r>
        <w:rPr>
          <w:sz w:val="22"/>
          <w:szCs w:val="22"/>
        </w:rPr>
        <w:t>vidence-based insights into students’ conceptual ecologies, guiding learning progression development, and evaluating the efficacy of educational interventions. Nevertheless, many science education assessment instruments lack: (1) alignment with professiona</w:t>
      </w:r>
      <w:r>
        <w:rPr>
          <w:sz w:val="22"/>
          <w:szCs w:val="22"/>
        </w:rPr>
        <w:t>l standards and guidelines, (2) utilization of appropriate psychometric frameworks (such as Item Response Theory) and (3) grounding in contemporary cognitive frameworks. This thesis explores psychometric, cognitive, and demographic aspects of measurement i</w:t>
      </w:r>
      <w:r>
        <w:rPr>
          <w:sz w:val="22"/>
          <w:szCs w:val="22"/>
        </w:rPr>
        <w:t xml:space="preserve">n genetics education. Two domains were explored: genetic drift and </w:t>
      </w:r>
      <w:proofErr w:type="spellStart"/>
      <w:r>
        <w:rPr>
          <w:sz w:val="22"/>
          <w:szCs w:val="22"/>
        </w:rPr>
        <w:t>Mendelian</w:t>
      </w:r>
      <w:proofErr w:type="spellEnd"/>
      <w:r>
        <w:rPr>
          <w:sz w:val="22"/>
          <w:szCs w:val="22"/>
        </w:rPr>
        <w:t xml:space="preserve"> inheritance.</w:t>
      </w:r>
    </w:p>
    <w:p w:rsidR="00486781" w:rsidRDefault="00F61C23">
      <w:pPr>
        <w:pStyle w:val="normal0"/>
        <w:pBdr>
          <w:top w:val="single" w:sz="4" w:space="0" w:color="000000"/>
          <w:left w:val="single" w:sz="4" w:space="4" w:color="000000"/>
          <w:bottom w:val="single" w:sz="4" w:space="0" w:color="000000"/>
          <w:right w:val="single" w:sz="4" w:space="4" w:color="000000"/>
        </w:pBdr>
        <w:ind w:firstLine="360"/>
        <w:jc w:val="both"/>
        <w:rPr>
          <w:sz w:val="22"/>
          <w:szCs w:val="22"/>
        </w:rPr>
      </w:pPr>
      <w:r>
        <w:rPr>
          <w:sz w:val="22"/>
          <w:szCs w:val="22"/>
        </w:rPr>
        <w:t xml:space="preserve">A genetic drift instrument (for which </w:t>
      </w:r>
      <w:proofErr w:type="spellStart"/>
      <w:r>
        <w:rPr>
          <w:sz w:val="22"/>
          <w:szCs w:val="22"/>
        </w:rPr>
        <w:t>Rasch</w:t>
      </w:r>
      <w:proofErr w:type="spellEnd"/>
      <w:r>
        <w:rPr>
          <w:sz w:val="22"/>
          <w:szCs w:val="22"/>
        </w:rPr>
        <w:t>-based validity and reliability evidence was first established) was used to examine the degree to which vignette order impa</w:t>
      </w:r>
      <w:r>
        <w:rPr>
          <w:sz w:val="22"/>
          <w:szCs w:val="22"/>
        </w:rPr>
        <w:t xml:space="preserve">cted inferences about undergraduate </w:t>
      </w:r>
      <w:r>
        <w:rPr>
          <w:sz w:val="22"/>
          <w:szCs w:val="22"/>
        </w:rPr>
        <w:t xml:space="preserve">student understanding. No evidence of item order bias was found when systematically rotating items among randomly assigned test forms. </w:t>
      </w:r>
      <w:proofErr w:type="spellStart"/>
      <w:r>
        <w:rPr>
          <w:sz w:val="22"/>
          <w:szCs w:val="22"/>
        </w:rPr>
        <w:t>Rasch</w:t>
      </w:r>
      <w:proofErr w:type="spellEnd"/>
      <w:r>
        <w:rPr>
          <w:sz w:val="22"/>
          <w:szCs w:val="22"/>
        </w:rPr>
        <w:t xml:space="preserve"> scores for person and item properties largely corroborated initial Classical Test Theory stud</w:t>
      </w:r>
      <w:r>
        <w:rPr>
          <w:sz w:val="22"/>
          <w:szCs w:val="22"/>
        </w:rPr>
        <w:t xml:space="preserve">ies, but also identified areas in need of refinement. Raw scores from our sample aligned well with those from other studies, providing evidence of score generalizability across diverse populations.  </w:t>
      </w:r>
    </w:p>
    <w:p w:rsidR="00486781" w:rsidRDefault="00F61C23">
      <w:pPr>
        <w:pStyle w:val="normal0"/>
        <w:pBdr>
          <w:top w:val="single" w:sz="4" w:space="0" w:color="000000"/>
          <w:left w:val="single" w:sz="4" w:space="4" w:color="000000"/>
          <w:bottom w:val="single" w:sz="4" w:space="0" w:color="000000"/>
          <w:right w:val="single" w:sz="4" w:space="4" w:color="000000"/>
        </w:pBdr>
        <w:ind w:firstLine="360"/>
        <w:jc w:val="both"/>
        <w:rPr>
          <w:sz w:val="22"/>
          <w:szCs w:val="22"/>
        </w:rPr>
      </w:pPr>
      <w:r>
        <w:rPr>
          <w:sz w:val="22"/>
          <w:szCs w:val="22"/>
        </w:rPr>
        <w:t xml:space="preserve">A </w:t>
      </w:r>
      <w:proofErr w:type="spellStart"/>
      <w:r>
        <w:rPr>
          <w:sz w:val="22"/>
          <w:szCs w:val="22"/>
        </w:rPr>
        <w:t>Mendelian</w:t>
      </w:r>
      <w:proofErr w:type="spellEnd"/>
      <w:r>
        <w:rPr>
          <w:sz w:val="22"/>
          <w:szCs w:val="22"/>
        </w:rPr>
        <w:t xml:space="preserve"> inheritance instrument (for which </w:t>
      </w:r>
      <w:proofErr w:type="spellStart"/>
      <w:r>
        <w:rPr>
          <w:sz w:val="22"/>
          <w:szCs w:val="22"/>
        </w:rPr>
        <w:t>Rasch</w:t>
      </w:r>
      <w:proofErr w:type="spellEnd"/>
      <w:r>
        <w:rPr>
          <w:sz w:val="22"/>
          <w:szCs w:val="22"/>
        </w:rPr>
        <w:t>-base</w:t>
      </w:r>
      <w:r>
        <w:rPr>
          <w:sz w:val="22"/>
          <w:szCs w:val="22"/>
        </w:rPr>
        <w:t>d validity and reliability evidence was first established) was used to test whether situational features or demographic factors biased performance</w:t>
      </w:r>
      <w:r>
        <w:rPr>
          <w:sz w:val="22"/>
          <w:szCs w:val="22"/>
        </w:rPr>
        <w:t xml:space="preserve"> in </w:t>
      </w:r>
      <w:r>
        <w:rPr>
          <w:sz w:val="22"/>
          <w:szCs w:val="22"/>
        </w:rPr>
        <w:t xml:space="preserve">undergraduate biology majors. Contrary to </w:t>
      </w:r>
      <w:bookmarkStart w:id="0" w:name="_GoBack"/>
      <w:bookmarkEnd w:id="0"/>
      <w:r>
        <w:rPr>
          <w:sz w:val="22"/>
          <w:szCs w:val="22"/>
        </w:rPr>
        <w:t>work in other domains, parallel items featuring plant, animal</w:t>
      </w:r>
      <w:r>
        <w:rPr>
          <w:sz w:val="22"/>
          <w:szCs w:val="22"/>
        </w:rPr>
        <w:t xml:space="preserve">, and human examples had no significant impact on measures of student understanding, and no significant associations were found in performance by gender or ethnicity. Significant associations were found between genetic problem types and item difficulty.  </w:t>
      </w:r>
    </w:p>
    <w:p w:rsidR="00486781" w:rsidRDefault="00F61C23">
      <w:pPr>
        <w:pStyle w:val="normal0"/>
        <w:pBdr>
          <w:top w:val="single" w:sz="4" w:space="0" w:color="000000"/>
          <w:left w:val="single" w:sz="4" w:space="4" w:color="000000"/>
          <w:bottom w:val="single" w:sz="4" w:space="0" w:color="000000"/>
          <w:right w:val="single" w:sz="4" w:space="4" w:color="000000"/>
        </w:pBdr>
        <w:ind w:firstLine="360"/>
        <w:jc w:val="both"/>
        <w:rPr>
          <w:sz w:val="22"/>
          <w:szCs w:val="22"/>
        </w:rPr>
      </w:pPr>
      <w:r>
        <w:rPr>
          <w:sz w:val="22"/>
          <w:szCs w:val="22"/>
        </w:rPr>
        <w:t>Overall, substantial evidence was generated about the measurement of genetics understanding and how it may be improved. The results serve as examples for the design and evaluation of genetics education instruments. The findings will be of interest to educa</w:t>
      </w:r>
      <w:r>
        <w:rPr>
          <w:sz w:val="22"/>
          <w:szCs w:val="22"/>
        </w:rPr>
        <w:t xml:space="preserve">tors and researchers seeking to develop high-quality measures to inform educational </w:t>
      </w:r>
      <w:proofErr w:type="gramStart"/>
      <w:r>
        <w:rPr>
          <w:sz w:val="22"/>
          <w:szCs w:val="22"/>
        </w:rPr>
        <w:t xml:space="preserve">decision </w:t>
      </w:r>
      <w:r>
        <w:rPr>
          <w:sz w:val="22"/>
          <w:szCs w:val="22"/>
        </w:rPr>
        <w:t>making</w:t>
      </w:r>
      <w:proofErr w:type="gramEnd"/>
      <w:r>
        <w:rPr>
          <w:sz w:val="22"/>
          <w:szCs w:val="22"/>
        </w:rPr>
        <w:t>.</w:t>
      </w:r>
    </w:p>
    <w:p w:rsidR="00486781" w:rsidRDefault="00486781">
      <w:pPr>
        <w:pStyle w:val="normal0"/>
        <w:pBdr>
          <w:top w:val="single" w:sz="4" w:space="0" w:color="000000"/>
          <w:left w:val="single" w:sz="4" w:space="4" w:color="000000"/>
          <w:bottom w:val="single" w:sz="4" w:space="0" w:color="000000"/>
          <w:right w:val="single" w:sz="4" w:space="4" w:color="000000"/>
        </w:pBdr>
        <w:ind w:firstLine="720"/>
        <w:jc w:val="both"/>
        <w:rPr>
          <w:sz w:val="22"/>
          <w:szCs w:val="22"/>
        </w:rPr>
      </w:pPr>
    </w:p>
    <w:p w:rsidR="00486781" w:rsidRDefault="00F61C23">
      <w:pPr>
        <w:pStyle w:val="normal0"/>
        <w:pBdr>
          <w:top w:val="single" w:sz="4" w:space="0" w:color="000000"/>
          <w:left w:val="single" w:sz="4" w:space="4" w:color="000000"/>
          <w:bottom w:val="single" w:sz="4" w:space="0" w:color="000000"/>
          <w:right w:val="single" w:sz="4" w:space="4" w:color="000000"/>
        </w:pBdr>
      </w:pPr>
      <w:r>
        <w:rPr>
          <w:b/>
        </w:rPr>
        <w:t>Date</w:t>
      </w:r>
      <w:r>
        <w:t xml:space="preserve">:  </w:t>
      </w:r>
      <w:r>
        <w:t>June 7</w:t>
      </w:r>
      <w:r>
        <w:t xml:space="preserve">, </w:t>
      </w:r>
      <w:r>
        <w:t>2018</w:t>
      </w:r>
      <w:r>
        <w:tab/>
      </w:r>
      <w:r>
        <w:tab/>
      </w:r>
      <w:r>
        <w:tab/>
        <w:t xml:space="preserve">        </w:t>
      </w:r>
      <w:r>
        <w:tab/>
      </w:r>
      <w:r>
        <w:rPr>
          <w:b/>
        </w:rPr>
        <w:t>Program</w:t>
      </w:r>
      <w:r>
        <w:t>: Science Education</w:t>
      </w:r>
    </w:p>
    <w:p w:rsidR="00486781" w:rsidRDefault="00F61C23">
      <w:pPr>
        <w:pStyle w:val="normal0"/>
        <w:pBdr>
          <w:top w:val="single" w:sz="4" w:space="0" w:color="000000"/>
          <w:left w:val="single" w:sz="4" w:space="4" w:color="000000"/>
          <w:bottom w:val="single" w:sz="4" w:space="0" w:color="000000"/>
          <w:right w:val="single" w:sz="4" w:space="4" w:color="000000"/>
        </w:pBdr>
      </w:pPr>
      <w:r>
        <w:rPr>
          <w:b/>
        </w:rPr>
        <w:t>Time</w:t>
      </w:r>
      <w:r>
        <w:t xml:space="preserve">: </w:t>
      </w:r>
      <w:r>
        <w:t xml:space="preserve">3:00 p.m. </w:t>
      </w:r>
      <w:r>
        <w:tab/>
      </w:r>
      <w:r>
        <w:tab/>
      </w:r>
      <w:r>
        <w:tab/>
        <w:t xml:space="preserve">            </w:t>
      </w:r>
      <w:r>
        <w:rPr>
          <w:b/>
        </w:rPr>
        <w:t>Dissertation Advisor</w:t>
      </w:r>
      <w:r>
        <w:t>: Ross H. Nehm</w:t>
      </w:r>
    </w:p>
    <w:p w:rsidR="00486781" w:rsidRDefault="00F61C23">
      <w:pPr>
        <w:pStyle w:val="normal0"/>
        <w:pBdr>
          <w:top w:val="single" w:sz="4" w:space="0" w:color="000000"/>
          <w:left w:val="single" w:sz="4" w:space="4" w:color="000000"/>
          <w:bottom w:val="single" w:sz="4" w:space="0" w:color="000000"/>
          <w:right w:val="single" w:sz="4" w:space="4" w:color="000000"/>
        </w:pBdr>
      </w:pPr>
      <w:r>
        <w:rPr>
          <w:b/>
        </w:rPr>
        <w:t>Place</w:t>
      </w:r>
      <w:r>
        <w:t>:</w:t>
      </w:r>
      <w:r>
        <w:t xml:space="preserve"> Life Sciences, Room 038</w:t>
      </w:r>
    </w:p>
    <w:sectPr w:rsidR="0048678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1C23">
      <w:r>
        <w:separator/>
      </w:r>
    </w:p>
  </w:endnote>
  <w:endnote w:type="continuationSeparator" w:id="0">
    <w:p w:rsidR="00000000" w:rsidRDefault="00F6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1C23">
      <w:r>
        <w:separator/>
      </w:r>
    </w:p>
  </w:footnote>
  <w:footnote w:type="continuationSeparator" w:id="0">
    <w:p w:rsidR="00000000" w:rsidRDefault="00F61C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781" w:rsidRDefault="00486781">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86781"/>
    <w:rsid w:val="00486781"/>
    <w:rsid w:val="00F6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415</Words>
  <Characters>2368</Characters>
  <Application>Microsoft Macintosh Word</Application>
  <DocSecurity>0</DocSecurity>
  <Lines>19</Lines>
  <Paragraphs>5</Paragraphs>
  <ScaleCrop>false</ScaleCrop>
  <Company>SBU</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Ross Nehm</cp:lastModifiedBy>
  <cp:revision>2</cp:revision>
  <dcterms:created xsi:type="dcterms:W3CDTF">2018-05-08T16:18:00Z</dcterms:created>
  <dcterms:modified xsi:type="dcterms:W3CDTF">2018-05-08T16:18:00Z</dcterms:modified>
</cp:coreProperties>
</file>